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1F1" w:rsidRPr="005731F1" w:rsidRDefault="005731F1" w:rsidP="005731F1">
      <w:pPr>
        <w:spacing w:line="276" w:lineRule="auto"/>
        <w:ind w:left="720"/>
        <w:jc w:val="center"/>
        <w:rPr>
          <w:rFonts w:eastAsia="Times New Roman" w:cs="Times New Roman"/>
          <w:b/>
          <w:sz w:val="28"/>
          <w:szCs w:val="28"/>
          <w:lang w:val="ru-RU"/>
        </w:rPr>
      </w:pPr>
      <w:r w:rsidRPr="005731F1">
        <w:rPr>
          <w:rFonts w:eastAsia="Times New Roman" w:cs="Times New Roman"/>
          <w:b/>
          <w:sz w:val="28"/>
          <w:szCs w:val="28"/>
        </w:rPr>
        <w:t xml:space="preserve">ПЪЛНО ОПИСАНИЕ НА ПРЕДМЕТА НА ОБЩЕСТВЕНАТА ПОРЪЧКА И </w:t>
      </w:r>
      <w:r w:rsidRPr="005731F1">
        <w:rPr>
          <w:rFonts w:eastAsia="Times New Roman" w:cs="Times New Roman"/>
          <w:b/>
          <w:sz w:val="28"/>
          <w:szCs w:val="28"/>
          <w:lang w:val="ru-RU"/>
        </w:rPr>
        <w:t>ТЕХНИЧЕСКИ СПЕЦИФИКАЦИИ</w:t>
      </w:r>
    </w:p>
    <w:p w:rsidR="005731F1" w:rsidRPr="005731F1" w:rsidRDefault="005731F1" w:rsidP="005731F1">
      <w:pPr>
        <w:spacing w:line="276" w:lineRule="auto"/>
        <w:ind w:left="720"/>
        <w:jc w:val="center"/>
        <w:rPr>
          <w:rFonts w:eastAsia="Times New Roman" w:cs="Times New Roman"/>
          <w:b/>
          <w:sz w:val="16"/>
          <w:szCs w:val="16"/>
          <w:lang w:val="ru-RU"/>
        </w:rPr>
      </w:pPr>
    </w:p>
    <w:p w:rsidR="005731F1" w:rsidRPr="005731F1" w:rsidRDefault="005731F1" w:rsidP="005731F1">
      <w:pPr>
        <w:jc w:val="both"/>
        <w:rPr>
          <w:rFonts w:eastAsia="Times New Roman" w:cs="Times New Roman"/>
          <w:b/>
          <w:szCs w:val="24"/>
        </w:rPr>
      </w:pPr>
    </w:p>
    <w:p w:rsidR="005731F1" w:rsidRPr="005731F1" w:rsidRDefault="005731F1" w:rsidP="005731F1">
      <w:pPr>
        <w:jc w:val="both"/>
        <w:rPr>
          <w:rFonts w:eastAsia="Times New Roman" w:cs="Times New Roman"/>
          <w:b/>
          <w:szCs w:val="24"/>
        </w:rPr>
      </w:pPr>
      <w:r w:rsidRPr="005731F1">
        <w:rPr>
          <w:rFonts w:eastAsia="Times New Roman" w:cs="Times New Roman"/>
          <w:b/>
          <w:szCs w:val="24"/>
        </w:rPr>
        <w:t>Следва да се изпълни:</w:t>
      </w:r>
    </w:p>
    <w:p w:rsidR="005731F1" w:rsidRPr="005731F1" w:rsidRDefault="005731F1" w:rsidP="005731F1">
      <w:pPr>
        <w:jc w:val="both"/>
        <w:rPr>
          <w:rFonts w:eastAsia="Times New Roman" w:cs="Times New Roman"/>
          <w:szCs w:val="24"/>
        </w:rPr>
      </w:pPr>
      <w:r w:rsidRPr="005731F1">
        <w:rPr>
          <w:rFonts w:eastAsia="Times New Roman" w:cs="Times New Roman"/>
          <w:b/>
          <w:szCs w:val="24"/>
        </w:rPr>
        <w:t>„Извършване на оценка за съответствието на инвестиционните проекти на всяка сграда със същественото изискване по чл. 169, ал. 1, т. 6 от ЗУТ при изпълнение на</w:t>
      </w:r>
      <w:r w:rsidRPr="005731F1">
        <w:rPr>
          <w:rFonts w:eastAsia="Calibri" w:cs="Times New Roman"/>
          <w:b/>
          <w:szCs w:val="24"/>
        </w:rPr>
        <w:t xml:space="preserve"> „Инженеринг за обновяване за енергийна ефективност на </w:t>
      </w:r>
      <w:proofErr w:type="spellStart"/>
      <w:r w:rsidRPr="005731F1">
        <w:rPr>
          <w:rFonts w:eastAsia="Calibri" w:cs="Times New Roman"/>
          <w:b/>
          <w:szCs w:val="24"/>
        </w:rPr>
        <w:t>многофамилни</w:t>
      </w:r>
      <w:proofErr w:type="spellEnd"/>
      <w:r w:rsidRPr="005731F1">
        <w:rPr>
          <w:rFonts w:eastAsia="Calibri" w:cs="Times New Roman"/>
          <w:b/>
          <w:szCs w:val="24"/>
        </w:rPr>
        <w:t xml:space="preserve"> жилищни сгради по Националната програма за енергийна ефективност на </w:t>
      </w:r>
      <w:proofErr w:type="spellStart"/>
      <w:r w:rsidRPr="005731F1">
        <w:rPr>
          <w:rFonts w:eastAsia="Calibri" w:cs="Times New Roman"/>
          <w:b/>
          <w:szCs w:val="24"/>
        </w:rPr>
        <w:t>многофамилни</w:t>
      </w:r>
      <w:proofErr w:type="spellEnd"/>
      <w:r w:rsidRPr="005731F1">
        <w:rPr>
          <w:rFonts w:eastAsia="Calibri" w:cs="Times New Roman"/>
          <w:b/>
          <w:szCs w:val="24"/>
        </w:rPr>
        <w:t xml:space="preserve"> жилищни сгради</w:t>
      </w:r>
      <w:r w:rsidRPr="005731F1">
        <w:rPr>
          <w:rFonts w:eastAsia="Times New Roman" w:cs="Times New Roman"/>
          <w:b/>
          <w:szCs w:val="24"/>
        </w:rPr>
        <w:t>“</w:t>
      </w:r>
    </w:p>
    <w:p w:rsidR="005731F1" w:rsidRPr="005731F1" w:rsidRDefault="005731F1" w:rsidP="005731F1">
      <w:pPr>
        <w:jc w:val="both"/>
        <w:rPr>
          <w:rFonts w:eastAsia="Times New Roman" w:cs="Times New Roman"/>
          <w:szCs w:val="24"/>
        </w:rPr>
      </w:pPr>
    </w:p>
    <w:p w:rsidR="005731F1" w:rsidRPr="005731F1" w:rsidRDefault="005731F1" w:rsidP="005731F1">
      <w:pPr>
        <w:jc w:val="both"/>
        <w:rPr>
          <w:rFonts w:eastAsia="Times New Roman" w:cs="Times New Roman"/>
          <w:szCs w:val="24"/>
        </w:rPr>
      </w:pPr>
      <w:r w:rsidRPr="005731F1">
        <w:rPr>
          <w:rFonts w:eastAsia="Times New Roman" w:cs="Times New Roman"/>
          <w:szCs w:val="24"/>
        </w:rPr>
        <w:t xml:space="preserve">Дейността се извършва на основание чл. 142, ал. 9 и 11 ЗУТ. Оценката за съответствие по чл. 169, ал. 1, т. 6 от ЗУТ се извършва по реда на Наредба № 7 от 2004 г. за енергийна ефективност, </w:t>
      </w:r>
      <w:proofErr w:type="spellStart"/>
      <w:r w:rsidRPr="005731F1">
        <w:rPr>
          <w:rFonts w:eastAsia="Times New Roman" w:cs="Times New Roman"/>
          <w:szCs w:val="24"/>
        </w:rPr>
        <w:t>топлосъхранение</w:t>
      </w:r>
      <w:proofErr w:type="spellEnd"/>
      <w:r w:rsidRPr="005731F1">
        <w:rPr>
          <w:rFonts w:eastAsia="Times New Roman" w:cs="Times New Roman"/>
          <w:szCs w:val="24"/>
        </w:rPr>
        <w:t xml:space="preserve"> и икономия на енергия в сгради, издадена на основание ЗУТ. Оценката за съответствие се оформя във вид на доклад.</w:t>
      </w:r>
    </w:p>
    <w:p w:rsidR="005731F1" w:rsidRPr="005731F1" w:rsidRDefault="005731F1" w:rsidP="005731F1">
      <w:pPr>
        <w:jc w:val="both"/>
        <w:rPr>
          <w:rFonts w:eastAsia="Times New Roman" w:cs="Times New Roman"/>
          <w:szCs w:val="24"/>
        </w:rPr>
      </w:pPr>
      <w:r w:rsidRPr="005731F1">
        <w:rPr>
          <w:rFonts w:eastAsia="Times New Roman" w:cs="Times New Roman"/>
          <w:szCs w:val="24"/>
        </w:rPr>
        <w:t>Дейността включва оценка на разработената от проектантите на дадена сграда проектна част „Енергийна ефективност”, за съответствие с изискванията на законодателството по енергийна ефективност.</w:t>
      </w:r>
    </w:p>
    <w:p w:rsidR="005731F1" w:rsidRPr="005731F1" w:rsidRDefault="005731F1" w:rsidP="005731F1">
      <w:pPr>
        <w:jc w:val="both"/>
        <w:rPr>
          <w:rFonts w:eastAsia="Times New Roman" w:cs="Times New Roman"/>
          <w:szCs w:val="24"/>
        </w:rPr>
      </w:pPr>
      <w:r w:rsidRPr="005731F1">
        <w:rPr>
          <w:rFonts w:eastAsia="Times New Roman" w:cs="Times New Roman"/>
          <w:szCs w:val="24"/>
        </w:rPr>
        <w:t>Обхватът на Дейността включва систематичен преглед и проверка на проектните стойности на техническите показатели за разход на енергия на всяка сграда, в съответствие с приложимите изисквания на нормативните актове и технически спецификации. Оценката е задължителна част от техническата документация, необходима за издаване на разрешение за строеж на сграда въз основа на разработен технически или работен проект.</w:t>
      </w:r>
    </w:p>
    <w:p w:rsidR="005731F1" w:rsidRPr="005731F1" w:rsidRDefault="005731F1" w:rsidP="005731F1">
      <w:pPr>
        <w:jc w:val="both"/>
        <w:rPr>
          <w:rFonts w:eastAsia="Times New Roman" w:cs="Times New Roman"/>
          <w:szCs w:val="24"/>
        </w:rPr>
      </w:pPr>
    </w:p>
    <w:p w:rsidR="005731F1" w:rsidRPr="005731F1" w:rsidRDefault="005731F1" w:rsidP="005731F1">
      <w:pPr>
        <w:jc w:val="both"/>
        <w:rPr>
          <w:rFonts w:eastAsia="Times New Roman" w:cs="Times New Roman"/>
          <w:b/>
          <w:szCs w:val="24"/>
        </w:rPr>
      </w:pPr>
      <w:r w:rsidRPr="005731F1">
        <w:rPr>
          <w:rFonts w:eastAsia="Times New Roman" w:cs="Times New Roman"/>
          <w:b/>
          <w:szCs w:val="24"/>
        </w:rPr>
        <w:t>Обхват на услугата</w:t>
      </w:r>
    </w:p>
    <w:p w:rsidR="005731F1" w:rsidRPr="005731F1" w:rsidRDefault="005731F1" w:rsidP="005731F1">
      <w:pPr>
        <w:jc w:val="both"/>
        <w:rPr>
          <w:rFonts w:eastAsia="Times New Roman" w:cs="Times New Roman"/>
          <w:szCs w:val="24"/>
        </w:rPr>
      </w:pPr>
      <w:r w:rsidRPr="005731F1">
        <w:rPr>
          <w:rFonts w:eastAsia="Times New Roman" w:cs="Times New Roman"/>
          <w:szCs w:val="24"/>
        </w:rPr>
        <w:t>Оценката за съответствие по чл. 169, ал. 1, т. 6 ЗУТ на инвестиционните проекти на сградите се извършва по отделен договор с възложителя от физически и юридически лица, които отговарят на изискванията на Закона за енергийната ефективност и са вписани в публичния регистър по чл. 44, ал. 1 от същия закон, съгласно разпоредбата на чл. 142, ал. 11 ЗУТ. В обхвата на обществената поръчка изпълнителят извършва този вид оценка за всяка от сградите.</w:t>
      </w:r>
    </w:p>
    <w:p w:rsidR="005731F1" w:rsidRPr="005731F1" w:rsidRDefault="005731F1" w:rsidP="005731F1">
      <w:pPr>
        <w:jc w:val="both"/>
        <w:rPr>
          <w:rFonts w:eastAsia="Times New Roman" w:cs="Times New Roman"/>
          <w:szCs w:val="24"/>
        </w:rPr>
      </w:pPr>
      <w:r w:rsidRPr="005731F1">
        <w:rPr>
          <w:rFonts w:eastAsia="Times New Roman" w:cs="Times New Roman"/>
          <w:szCs w:val="24"/>
        </w:rPr>
        <w:t xml:space="preserve">Оцененото съответствие по чл. 169, ал. 1, т. 6 от ЗУТ на инвестиционните проекти на сградите, се документира във вид на доклад, който трябва да отразява всички проверки на техническите показатели за енергийна ефективност на сградите, определени с изискванията на Наредба № 7 от 2004 г. за енергийна ефективност, </w:t>
      </w:r>
      <w:proofErr w:type="spellStart"/>
      <w:r w:rsidRPr="005731F1">
        <w:rPr>
          <w:rFonts w:eastAsia="Times New Roman" w:cs="Times New Roman"/>
          <w:szCs w:val="24"/>
        </w:rPr>
        <w:t>топлосъхранение</w:t>
      </w:r>
      <w:proofErr w:type="spellEnd"/>
      <w:r w:rsidRPr="005731F1">
        <w:rPr>
          <w:rFonts w:eastAsia="Times New Roman" w:cs="Times New Roman"/>
          <w:szCs w:val="24"/>
        </w:rPr>
        <w:t xml:space="preserve"> и икономия на енергия в сгради, в т.ч. проверка за взаимна съгласуваност на проектната част „Енергийна ефективност” с останалите проектни части.</w:t>
      </w:r>
    </w:p>
    <w:p w:rsidR="005731F1" w:rsidRPr="005731F1" w:rsidRDefault="005731F1" w:rsidP="005731F1">
      <w:pPr>
        <w:jc w:val="both"/>
        <w:rPr>
          <w:rFonts w:eastAsia="Times New Roman" w:cs="Times New Roman"/>
          <w:szCs w:val="24"/>
        </w:rPr>
      </w:pPr>
    </w:p>
    <w:p w:rsidR="005731F1" w:rsidRPr="005731F1" w:rsidRDefault="005731F1" w:rsidP="005731F1">
      <w:pPr>
        <w:jc w:val="both"/>
        <w:rPr>
          <w:rFonts w:eastAsia="Times New Roman" w:cs="Times New Roman"/>
          <w:b/>
          <w:szCs w:val="24"/>
        </w:rPr>
      </w:pPr>
      <w:r w:rsidRPr="005731F1">
        <w:rPr>
          <w:rFonts w:eastAsia="Times New Roman" w:cs="Times New Roman"/>
          <w:b/>
          <w:szCs w:val="24"/>
        </w:rPr>
        <w:t>Изискване за представяне на крайния продукт</w:t>
      </w:r>
    </w:p>
    <w:p w:rsidR="005731F1" w:rsidRPr="005731F1" w:rsidRDefault="005731F1" w:rsidP="005731F1">
      <w:pPr>
        <w:jc w:val="both"/>
        <w:rPr>
          <w:rFonts w:eastAsia="Times New Roman" w:cs="Times New Roman"/>
          <w:szCs w:val="24"/>
        </w:rPr>
      </w:pPr>
      <w:r w:rsidRPr="005731F1">
        <w:rPr>
          <w:rFonts w:eastAsia="Times New Roman" w:cs="Times New Roman"/>
          <w:szCs w:val="24"/>
        </w:rPr>
        <w:t xml:space="preserve">Докладите от извършените оценки за съответствие на инвестиционните проекти на сградите по чл. 169, ал. 1, т. 6 от ЗУТ се изготвят по реда на Наредба № 7 от 2004 г. за енергийна ефективност, </w:t>
      </w:r>
      <w:proofErr w:type="spellStart"/>
      <w:r w:rsidRPr="005731F1">
        <w:rPr>
          <w:rFonts w:eastAsia="Times New Roman" w:cs="Times New Roman"/>
          <w:szCs w:val="24"/>
        </w:rPr>
        <w:t>топлосъхранение</w:t>
      </w:r>
      <w:proofErr w:type="spellEnd"/>
      <w:r w:rsidRPr="005731F1">
        <w:rPr>
          <w:rFonts w:eastAsia="Times New Roman" w:cs="Times New Roman"/>
          <w:szCs w:val="24"/>
        </w:rPr>
        <w:t xml:space="preserve"> и икономия на енергия в сгради, издадена на основание ЗУТ.</w:t>
      </w:r>
    </w:p>
    <w:p w:rsidR="005731F1" w:rsidRPr="005731F1" w:rsidRDefault="005731F1" w:rsidP="005731F1">
      <w:pPr>
        <w:jc w:val="both"/>
        <w:rPr>
          <w:rFonts w:eastAsia="Times New Roman" w:cs="Times New Roman"/>
          <w:szCs w:val="24"/>
        </w:rPr>
      </w:pPr>
      <w:r w:rsidRPr="005731F1">
        <w:rPr>
          <w:rFonts w:eastAsia="Times New Roman" w:cs="Times New Roman"/>
          <w:szCs w:val="24"/>
        </w:rPr>
        <w:t>Докладите са част от документацията, въз основа на която се издава разрешение за строеж на всяка от сградите. Този вид специфични доклади отразяват оценката на разработените технически проекти за сградите за съответствие с изискванията за енергийна ефективност.</w:t>
      </w:r>
    </w:p>
    <w:p w:rsidR="005731F1" w:rsidRPr="005731F1" w:rsidRDefault="005731F1" w:rsidP="005731F1">
      <w:pPr>
        <w:jc w:val="both"/>
        <w:rPr>
          <w:rFonts w:eastAsia="Times New Roman" w:cs="Times New Roman"/>
          <w:szCs w:val="24"/>
        </w:rPr>
      </w:pPr>
      <w:r w:rsidRPr="005731F1">
        <w:rPr>
          <w:rFonts w:eastAsia="Times New Roman" w:cs="Times New Roman"/>
          <w:szCs w:val="24"/>
        </w:rPr>
        <w:t xml:space="preserve">Съдържанието на докладите трябва да отразява и да доказва, че извършените проверки и систематичен преглед на проектните стойности на техническите показатели за </w:t>
      </w:r>
      <w:r w:rsidRPr="005731F1">
        <w:rPr>
          <w:rFonts w:eastAsia="Times New Roman" w:cs="Times New Roman"/>
          <w:szCs w:val="24"/>
        </w:rPr>
        <w:lastRenderedPageBreak/>
        <w:t>енергийна ефективност показват съответствието им с приложимите изисквания на нормативните актове и технически спецификации, както и съответствие по отношение предписаните мерки за енергийна ефективност от извършеното обследване на всяка от сградите.</w:t>
      </w:r>
    </w:p>
    <w:p w:rsidR="005731F1" w:rsidRPr="005731F1" w:rsidRDefault="005731F1" w:rsidP="005731F1">
      <w:pPr>
        <w:jc w:val="both"/>
        <w:rPr>
          <w:rFonts w:eastAsia="Times New Roman" w:cs="Times New Roman"/>
          <w:szCs w:val="24"/>
        </w:rPr>
      </w:pPr>
      <w:r w:rsidRPr="005731F1">
        <w:rPr>
          <w:rFonts w:eastAsia="Times New Roman" w:cs="Times New Roman"/>
          <w:szCs w:val="24"/>
        </w:rPr>
        <w:t>Докладите от извършените оценки за съответствие на инвестиционните проекти на сградите по чл. 169, ал. 1, т. 6 от ЗУТ се предават в 3 оригинала на хартиен носител и 1 екземпляр на електронен носител.</w:t>
      </w:r>
    </w:p>
    <w:p w:rsidR="005731F1" w:rsidRPr="005731F1" w:rsidRDefault="005731F1" w:rsidP="005731F1">
      <w:pPr>
        <w:jc w:val="both"/>
        <w:rPr>
          <w:rFonts w:eastAsia="Times New Roman" w:cs="Times New Roman"/>
          <w:szCs w:val="24"/>
        </w:rPr>
      </w:pPr>
    </w:p>
    <w:p w:rsidR="005731F1" w:rsidRPr="005731F1" w:rsidRDefault="005731F1" w:rsidP="005731F1">
      <w:pPr>
        <w:jc w:val="both"/>
        <w:rPr>
          <w:rFonts w:eastAsia="Times New Roman" w:cs="Times New Roman"/>
          <w:szCs w:val="24"/>
        </w:rPr>
      </w:pPr>
      <w:r w:rsidRPr="005731F1">
        <w:rPr>
          <w:rFonts w:eastAsia="Times New Roman" w:cs="Times New Roman"/>
          <w:b/>
          <w:szCs w:val="24"/>
        </w:rPr>
        <w:t>СРОК ЗА ИЗПЪЛНЕНИЕ</w:t>
      </w:r>
      <w:r w:rsidRPr="005731F1">
        <w:rPr>
          <w:rFonts w:eastAsia="Times New Roman" w:cs="Times New Roman"/>
          <w:szCs w:val="24"/>
        </w:rPr>
        <w:t>: в рамките на 30 календарни дни, считано от представяне от страна на възложителя на инвестиционните проектни, подлежащи на оценка следва да се направи приемане на крайните продукти (докладите) без забележки от възложителя.</w:t>
      </w:r>
    </w:p>
    <w:p w:rsidR="005731F1" w:rsidRPr="005731F1" w:rsidRDefault="005731F1" w:rsidP="005731F1">
      <w:pPr>
        <w:tabs>
          <w:tab w:val="left" w:pos="720"/>
        </w:tabs>
        <w:autoSpaceDE w:val="0"/>
        <w:autoSpaceDN w:val="0"/>
        <w:adjustRightInd w:val="0"/>
        <w:spacing w:line="276" w:lineRule="auto"/>
        <w:jc w:val="both"/>
        <w:rPr>
          <w:rFonts w:eastAsia="Times New Roman" w:cs="Times New Roman"/>
          <w:bCs/>
          <w:szCs w:val="24"/>
          <w:lang w:val="en-US"/>
        </w:rPr>
      </w:pPr>
    </w:p>
    <w:p w:rsidR="005731F1" w:rsidRPr="005731F1" w:rsidRDefault="005731F1" w:rsidP="005731F1">
      <w:pPr>
        <w:spacing w:line="276" w:lineRule="auto"/>
        <w:jc w:val="both"/>
        <w:rPr>
          <w:rFonts w:eastAsia="Times New Roman" w:cs="Times New Roman"/>
          <w:b/>
          <w:szCs w:val="24"/>
          <w:u w:val="single"/>
        </w:rPr>
      </w:pPr>
      <w:r w:rsidRPr="005731F1">
        <w:rPr>
          <w:rFonts w:eastAsia="Times New Roman" w:cs="Times New Roman"/>
          <w:b/>
          <w:szCs w:val="24"/>
          <w:u w:val="single"/>
        </w:rPr>
        <w:t>ВАЖНО! При евентуално посочване на определен сертификат, стандарт или друго подобно в настоящата спецификация, както и навсякъде другаде от документацията за настоящата процедура, следва да се има предвид, че е допустимо да се предложи еквивалент.</w:t>
      </w:r>
    </w:p>
    <w:p w:rsidR="005731F1" w:rsidRPr="005731F1" w:rsidRDefault="005731F1" w:rsidP="005731F1">
      <w:pPr>
        <w:spacing w:line="276" w:lineRule="auto"/>
        <w:jc w:val="both"/>
        <w:rPr>
          <w:rFonts w:eastAsia="Times New Roman" w:cs="Times New Roman"/>
          <w:b/>
          <w:szCs w:val="24"/>
          <w:u w:val="single"/>
        </w:rPr>
      </w:pPr>
    </w:p>
    <w:p w:rsidR="005731F1" w:rsidRPr="005731F1" w:rsidRDefault="005731F1" w:rsidP="005731F1">
      <w:pPr>
        <w:jc w:val="both"/>
        <w:rPr>
          <w:rFonts w:eastAsia="Times New Roman" w:cs="Times New Roman"/>
          <w:b/>
          <w:szCs w:val="24"/>
          <w:u w:val="single"/>
        </w:rPr>
      </w:pPr>
      <w:r w:rsidRPr="005731F1">
        <w:rPr>
          <w:rFonts w:eastAsia="Times New Roman" w:cs="Times New Roman"/>
          <w:b/>
          <w:szCs w:val="24"/>
          <w:u w:val="single"/>
        </w:rPr>
        <w:t>Разгънатата застроена площ (РЗП) на отделните сгради по позиции е както следва:</w:t>
      </w:r>
    </w:p>
    <w:p w:rsidR="005731F1" w:rsidRPr="005731F1" w:rsidRDefault="005731F1" w:rsidP="005731F1">
      <w:pPr>
        <w:jc w:val="both"/>
        <w:rPr>
          <w:rFonts w:eastAsia="Times New Roman" w:cs="Times New Roman"/>
          <w:b/>
          <w:szCs w:val="24"/>
          <w:u w:val="single"/>
        </w:rPr>
      </w:pPr>
    </w:p>
    <w:tbl>
      <w:tblPr>
        <w:tblStyle w:val="1"/>
        <w:tblW w:w="0" w:type="auto"/>
        <w:tblLook w:val="04A0" w:firstRow="1" w:lastRow="0" w:firstColumn="1" w:lastColumn="0" w:noHBand="0" w:noVBand="1"/>
      </w:tblPr>
      <w:tblGrid>
        <w:gridCol w:w="6044"/>
        <w:gridCol w:w="3018"/>
      </w:tblGrid>
      <w:tr w:rsidR="005731F1" w:rsidRPr="005731F1" w:rsidTr="004C3B1B">
        <w:tc>
          <w:tcPr>
            <w:tcW w:w="6141" w:type="dxa"/>
          </w:tcPr>
          <w:p w:rsidR="005731F1" w:rsidRPr="005731F1" w:rsidRDefault="005731F1" w:rsidP="005731F1">
            <w:pPr>
              <w:jc w:val="both"/>
              <w:rPr>
                <w:rFonts w:ascii="Times New Roman" w:eastAsia="Times New Roman" w:hAnsi="Times New Roman" w:cs="Times New Roman"/>
                <w:b/>
                <w:bCs/>
                <w:sz w:val="24"/>
                <w:szCs w:val="24"/>
                <w:lang w:eastAsia="bg-BG"/>
              </w:rPr>
            </w:pPr>
            <w:r w:rsidRPr="005731F1">
              <w:rPr>
                <w:rFonts w:ascii="Times New Roman" w:eastAsia="Times New Roman" w:hAnsi="Times New Roman" w:cs="Times New Roman"/>
                <w:b/>
                <w:bCs/>
                <w:sz w:val="24"/>
                <w:szCs w:val="24"/>
                <w:lang w:eastAsia="bg-BG"/>
              </w:rPr>
              <w:t>Обособена позиция</w:t>
            </w:r>
          </w:p>
        </w:tc>
        <w:tc>
          <w:tcPr>
            <w:tcW w:w="3071" w:type="dxa"/>
          </w:tcPr>
          <w:p w:rsidR="005731F1" w:rsidRPr="005731F1" w:rsidRDefault="005731F1" w:rsidP="005731F1">
            <w:pPr>
              <w:jc w:val="both"/>
              <w:rPr>
                <w:rFonts w:ascii="Times New Roman" w:eastAsia="Times New Roman" w:hAnsi="Times New Roman" w:cs="Times New Roman"/>
                <w:b/>
                <w:bCs/>
                <w:sz w:val="24"/>
                <w:szCs w:val="24"/>
                <w:lang w:eastAsia="bg-BG"/>
              </w:rPr>
            </w:pPr>
            <w:r w:rsidRPr="005731F1">
              <w:rPr>
                <w:rFonts w:ascii="Times New Roman" w:eastAsia="Times New Roman" w:hAnsi="Times New Roman" w:cs="Times New Roman"/>
                <w:b/>
                <w:bCs/>
                <w:sz w:val="24"/>
                <w:szCs w:val="24"/>
                <w:lang w:eastAsia="bg-BG"/>
              </w:rPr>
              <w:t>РЗП, кв. м.</w:t>
            </w:r>
          </w:p>
        </w:tc>
        <w:bookmarkStart w:id="0" w:name="_GoBack"/>
        <w:bookmarkEnd w:id="0"/>
      </w:tr>
      <w:tr w:rsidR="005731F1" w:rsidRPr="005731F1" w:rsidTr="004C3B1B">
        <w:tc>
          <w:tcPr>
            <w:tcW w:w="6141" w:type="dxa"/>
          </w:tcPr>
          <w:p w:rsidR="005731F1" w:rsidRPr="005731F1" w:rsidRDefault="005731F1" w:rsidP="005731F1">
            <w:pPr>
              <w:jc w:val="both"/>
              <w:rPr>
                <w:rFonts w:ascii="Times New Roman" w:eastAsia="Times New Roman" w:hAnsi="Times New Roman" w:cs="Times New Roman"/>
                <w:b/>
                <w:sz w:val="24"/>
                <w:szCs w:val="24"/>
              </w:rPr>
            </w:pPr>
            <w:r w:rsidRPr="005731F1">
              <w:rPr>
                <w:rFonts w:ascii="Times New Roman" w:eastAsia="Times New Roman" w:hAnsi="Times New Roman" w:cs="Times New Roman"/>
                <w:b/>
                <w:sz w:val="24"/>
                <w:szCs w:val="24"/>
              </w:rPr>
              <w:t xml:space="preserve">Обособена позиция 1: </w:t>
            </w:r>
          </w:p>
        </w:tc>
        <w:tc>
          <w:tcPr>
            <w:tcW w:w="3071" w:type="dxa"/>
            <w:vAlign w:val="center"/>
          </w:tcPr>
          <w:p w:rsidR="005731F1" w:rsidRPr="005731F1" w:rsidRDefault="005731F1" w:rsidP="005731F1">
            <w:pPr>
              <w:jc w:val="both"/>
              <w:rPr>
                <w:rFonts w:ascii="Times New Roman" w:eastAsia="Times New Roman" w:hAnsi="Times New Roman" w:cs="Times New Roman"/>
                <w:b/>
                <w:bCs/>
                <w:sz w:val="24"/>
                <w:szCs w:val="24"/>
                <w:lang w:eastAsia="bg-BG"/>
              </w:rPr>
            </w:pPr>
          </w:p>
        </w:tc>
      </w:tr>
      <w:tr w:rsidR="005731F1" w:rsidRPr="005731F1" w:rsidTr="004C3B1B">
        <w:tc>
          <w:tcPr>
            <w:tcW w:w="6141" w:type="dxa"/>
          </w:tcPr>
          <w:p w:rsidR="005731F1" w:rsidRPr="005731F1" w:rsidRDefault="005731F1" w:rsidP="005731F1">
            <w:pPr>
              <w:numPr>
                <w:ilvl w:val="0"/>
                <w:numId w:val="1"/>
              </w:numPr>
              <w:contextualSpacing/>
              <w:jc w:val="both"/>
              <w:rPr>
                <w:rFonts w:ascii="Times New Roman" w:eastAsia="Times New Roman" w:hAnsi="Times New Roman" w:cs="Times New Roman"/>
                <w:sz w:val="24"/>
                <w:szCs w:val="24"/>
              </w:rPr>
            </w:pPr>
            <w:proofErr w:type="spellStart"/>
            <w:r w:rsidRPr="005731F1">
              <w:rPr>
                <w:rFonts w:ascii="Times New Roman" w:eastAsia="Times New Roman" w:hAnsi="Times New Roman" w:cs="Times New Roman"/>
                <w:sz w:val="24"/>
                <w:szCs w:val="24"/>
              </w:rPr>
              <w:t>Многофамилна</w:t>
            </w:r>
            <w:proofErr w:type="spellEnd"/>
            <w:r w:rsidRPr="005731F1">
              <w:rPr>
                <w:rFonts w:ascii="Times New Roman" w:eastAsia="Times New Roman" w:hAnsi="Times New Roman" w:cs="Times New Roman"/>
                <w:sz w:val="24"/>
                <w:szCs w:val="24"/>
              </w:rPr>
              <w:t xml:space="preserve"> жилищна сграда в гр. Русе, ул. „Антим Първи“ №1, бл. "Пловдив"</w:t>
            </w:r>
            <w:r w:rsidRPr="005731F1">
              <w:rPr>
                <w:rFonts w:ascii="Times New Roman" w:eastAsia="Times New Roman" w:hAnsi="Times New Roman" w:cs="Times New Roman"/>
                <w:sz w:val="24"/>
                <w:szCs w:val="24"/>
                <w:lang w:val="en-US"/>
              </w:rPr>
              <w:t>;</w:t>
            </w:r>
          </w:p>
        </w:tc>
        <w:tc>
          <w:tcPr>
            <w:tcW w:w="3071" w:type="dxa"/>
            <w:vAlign w:val="bottom"/>
          </w:tcPr>
          <w:p w:rsidR="005731F1" w:rsidRPr="005731F1" w:rsidRDefault="005731F1" w:rsidP="005731F1">
            <w:pPr>
              <w:jc w:val="both"/>
              <w:rPr>
                <w:rFonts w:ascii="Times New Roman" w:eastAsia="Times New Roman" w:hAnsi="Times New Roman" w:cs="Times New Roman"/>
                <w:b/>
                <w:bCs/>
                <w:sz w:val="24"/>
                <w:szCs w:val="24"/>
                <w:lang w:eastAsia="bg-BG"/>
              </w:rPr>
            </w:pPr>
            <w:r w:rsidRPr="005731F1">
              <w:rPr>
                <w:rFonts w:ascii="Times New Roman" w:eastAsia="Times New Roman" w:hAnsi="Times New Roman" w:cs="Times New Roman"/>
                <w:color w:val="000000"/>
                <w:sz w:val="24"/>
                <w:szCs w:val="24"/>
              </w:rPr>
              <w:t>3350,00</w:t>
            </w:r>
          </w:p>
        </w:tc>
      </w:tr>
      <w:tr w:rsidR="005731F1" w:rsidRPr="005731F1" w:rsidTr="004C3B1B">
        <w:tc>
          <w:tcPr>
            <w:tcW w:w="6141" w:type="dxa"/>
          </w:tcPr>
          <w:p w:rsidR="005731F1" w:rsidRPr="005731F1" w:rsidRDefault="005731F1" w:rsidP="005731F1">
            <w:pPr>
              <w:numPr>
                <w:ilvl w:val="0"/>
                <w:numId w:val="1"/>
              </w:numPr>
              <w:contextualSpacing/>
              <w:jc w:val="both"/>
              <w:rPr>
                <w:rFonts w:ascii="Times New Roman" w:eastAsia="Times New Roman" w:hAnsi="Times New Roman" w:cs="Times New Roman"/>
                <w:b/>
                <w:sz w:val="24"/>
                <w:szCs w:val="24"/>
              </w:rPr>
            </w:pPr>
            <w:proofErr w:type="spellStart"/>
            <w:r w:rsidRPr="005731F1">
              <w:rPr>
                <w:rFonts w:ascii="Times New Roman" w:eastAsia="Times New Roman" w:hAnsi="Times New Roman" w:cs="Times New Roman"/>
                <w:sz w:val="24"/>
                <w:szCs w:val="24"/>
              </w:rPr>
              <w:t>Многофамилна</w:t>
            </w:r>
            <w:proofErr w:type="spellEnd"/>
            <w:r w:rsidRPr="005731F1">
              <w:rPr>
                <w:rFonts w:ascii="Times New Roman" w:eastAsia="Times New Roman" w:hAnsi="Times New Roman" w:cs="Times New Roman"/>
                <w:sz w:val="24"/>
                <w:szCs w:val="24"/>
              </w:rPr>
              <w:t xml:space="preserve"> жилищна сграда в гр. Русе, ул. "Слави </w:t>
            </w:r>
            <w:proofErr w:type="spellStart"/>
            <w:r w:rsidRPr="005731F1">
              <w:rPr>
                <w:rFonts w:ascii="Times New Roman" w:eastAsia="Times New Roman" w:hAnsi="Times New Roman" w:cs="Times New Roman"/>
                <w:sz w:val="24"/>
                <w:szCs w:val="24"/>
              </w:rPr>
              <w:t>Шкаров</w:t>
            </w:r>
            <w:proofErr w:type="spellEnd"/>
            <w:r w:rsidRPr="005731F1">
              <w:rPr>
                <w:rFonts w:ascii="Times New Roman" w:eastAsia="Times New Roman" w:hAnsi="Times New Roman" w:cs="Times New Roman"/>
                <w:sz w:val="24"/>
                <w:szCs w:val="24"/>
              </w:rPr>
              <w:t>" №7, бл. 305</w:t>
            </w:r>
          </w:p>
        </w:tc>
        <w:tc>
          <w:tcPr>
            <w:tcW w:w="3071" w:type="dxa"/>
            <w:vAlign w:val="bottom"/>
          </w:tcPr>
          <w:p w:rsidR="005731F1" w:rsidRPr="005731F1" w:rsidRDefault="005731F1" w:rsidP="005731F1">
            <w:pPr>
              <w:jc w:val="both"/>
              <w:rPr>
                <w:rFonts w:ascii="Times New Roman" w:eastAsia="Times New Roman" w:hAnsi="Times New Roman" w:cs="Times New Roman"/>
                <w:b/>
                <w:bCs/>
                <w:sz w:val="24"/>
                <w:szCs w:val="24"/>
                <w:lang w:eastAsia="bg-BG"/>
              </w:rPr>
            </w:pPr>
            <w:r w:rsidRPr="005731F1">
              <w:rPr>
                <w:rFonts w:ascii="Times New Roman" w:eastAsia="Times New Roman" w:hAnsi="Times New Roman" w:cs="Times New Roman"/>
                <w:color w:val="000000"/>
                <w:sz w:val="24"/>
                <w:szCs w:val="24"/>
              </w:rPr>
              <w:t>16227,00</w:t>
            </w:r>
          </w:p>
        </w:tc>
      </w:tr>
      <w:tr w:rsidR="005731F1" w:rsidRPr="005731F1" w:rsidTr="004C3B1B">
        <w:tc>
          <w:tcPr>
            <w:tcW w:w="6141" w:type="dxa"/>
          </w:tcPr>
          <w:p w:rsidR="005731F1" w:rsidRPr="005731F1" w:rsidRDefault="005731F1" w:rsidP="005731F1">
            <w:pPr>
              <w:numPr>
                <w:ilvl w:val="0"/>
                <w:numId w:val="1"/>
              </w:numPr>
              <w:contextualSpacing/>
              <w:jc w:val="both"/>
              <w:rPr>
                <w:rFonts w:ascii="Times New Roman" w:eastAsia="Times New Roman" w:hAnsi="Times New Roman" w:cs="Times New Roman"/>
                <w:sz w:val="24"/>
                <w:szCs w:val="24"/>
              </w:rPr>
            </w:pPr>
            <w:proofErr w:type="spellStart"/>
            <w:r w:rsidRPr="005731F1">
              <w:rPr>
                <w:rFonts w:ascii="Times New Roman" w:eastAsia="Times New Roman" w:hAnsi="Times New Roman" w:cs="Times New Roman"/>
                <w:sz w:val="24"/>
                <w:szCs w:val="24"/>
              </w:rPr>
              <w:t>Многофамилна</w:t>
            </w:r>
            <w:proofErr w:type="spellEnd"/>
            <w:r w:rsidRPr="005731F1">
              <w:rPr>
                <w:rFonts w:ascii="Times New Roman" w:eastAsia="Times New Roman" w:hAnsi="Times New Roman" w:cs="Times New Roman"/>
                <w:sz w:val="24"/>
                <w:szCs w:val="24"/>
              </w:rPr>
              <w:t xml:space="preserve"> жилищна сграда в гр. Русе, ул. "Згориград" №70, бл. "Крали Марко";</w:t>
            </w:r>
          </w:p>
        </w:tc>
        <w:tc>
          <w:tcPr>
            <w:tcW w:w="3071" w:type="dxa"/>
            <w:vAlign w:val="bottom"/>
          </w:tcPr>
          <w:p w:rsidR="005731F1" w:rsidRPr="005731F1" w:rsidRDefault="005731F1" w:rsidP="005731F1">
            <w:pPr>
              <w:jc w:val="both"/>
              <w:rPr>
                <w:rFonts w:ascii="Times New Roman" w:eastAsia="Times New Roman" w:hAnsi="Times New Roman" w:cs="Times New Roman"/>
                <w:b/>
                <w:bCs/>
                <w:sz w:val="24"/>
                <w:szCs w:val="24"/>
                <w:lang w:eastAsia="bg-BG"/>
              </w:rPr>
            </w:pPr>
            <w:r w:rsidRPr="005731F1">
              <w:rPr>
                <w:rFonts w:ascii="Times New Roman" w:eastAsia="Times New Roman" w:hAnsi="Times New Roman" w:cs="Times New Roman"/>
                <w:color w:val="000000"/>
                <w:sz w:val="24"/>
                <w:szCs w:val="24"/>
              </w:rPr>
              <w:t>13976,40</w:t>
            </w:r>
          </w:p>
        </w:tc>
      </w:tr>
      <w:tr w:rsidR="005731F1" w:rsidRPr="005731F1" w:rsidTr="004C3B1B">
        <w:tc>
          <w:tcPr>
            <w:tcW w:w="6141" w:type="dxa"/>
          </w:tcPr>
          <w:p w:rsidR="005731F1" w:rsidRPr="005731F1" w:rsidRDefault="005731F1" w:rsidP="005731F1">
            <w:pPr>
              <w:rPr>
                <w:rFonts w:ascii="Times New Roman" w:eastAsia="Times New Roman" w:hAnsi="Times New Roman" w:cs="Times New Roman"/>
                <w:b/>
                <w:bCs/>
                <w:sz w:val="24"/>
                <w:szCs w:val="24"/>
                <w:lang w:eastAsia="bg-BG"/>
              </w:rPr>
            </w:pPr>
            <w:r w:rsidRPr="005731F1">
              <w:rPr>
                <w:rFonts w:ascii="Times New Roman" w:eastAsia="Times New Roman" w:hAnsi="Times New Roman" w:cs="Times New Roman"/>
                <w:b/>
                <w:bCs/>
                <w:sz w:val="24"/>
                <w:szCs w:val="24"/>
                <w:lang w:eastAsia="bg-BG"/>
              </w:rPr>
              <w:t>Обособена позиция 2:</w:t>
            </w:r>
          </w:p>
        </w:tc>
        <w:tc>
          <w:tcPr>
            <w:tcW w:w="3071" w:type="dxa"/>
            <w:vAlign w:val="center"/>
          </w:tcPr>
          <w:p w:rsidR="005731F1" w:rsidRPr="005731F1" w:rsidRDefault="005731F1" w:rsidP="005731F1">
            <w:pPr>
              <w:jc w:val="both"/>
              <w:rPr>
                <w:rFonts w:ascii="Times New Roman" w:eastAsia="Times New Roman" w:hAnsi="Times New Roman" w:cs="Times New Roman"/>
                <w:b/>
                <w:bCs/>
                <w:sz w:val="24"/>
                <w:szCs w:val="24"/>
                <w:lang w:eastAsia="bg-BG"/>
              </w:rPr>
            </w:pPr>
          </w:p>
        </w:tc>
      </w:tr>
      <w:tr w:rsidR="005731F1" w:rsidRPr="005731F1" w:rsidTr="004C3B1B">
        <w:tc>
          <w:tcPr>
            <w:tcW w:w="6141" w:type="dxa"/>
          </w:tcPr>
          <w:p w:rsidR="005731F1" w:rsidRPr="005731F1" w:rsidRDefault="005731F1" w:rsidP="005731F1">
            <w:pPr>
              <w:numPr>
                <w:ilvl w:val="0"/>
                <w:numId w:val="2"/>
              </w:numPr>
              <w:rPr>
                <w:rFonts w:ascii="Times New Roman" w:eastAsia="Times New Roman" w:hAnsi="Times New Roman" w:cs="Times New Roman"/>
                <w:bCs/>
                <w:sz w:val="24"/>
                <w:szCs w:val="24"/>
                <w:lang w:eastAsia="bg-BG"/>
              </w:rPr>
            </w:pPr>
            <w:proofErr w:type="spellStart"/>
            <w:r w:rsidRPr="005731F1">
              <w:rPr>
                <w:rFonts w:ascii="Times New Roman" w:eastAsia="Times New Roman" w:hAnsi="Times New Roman" w:cs="Times New Roman"/>
                <w:bCs/>
                <w:sz w:val="24"/>
                <w:szCs w:val="24"/>
                <w:lang w:eastAsia="bg-BG"/>
              </w:rPr>
              <w:t>Многофамилна</w:t>
            </w:r>
            <w:proofErr w:type="spellEnd"/>
            <w:r w:rsidRPr="005731F1">
              <w:rPr>
                <w:rFonts w:ascii="Times New Roman" w:eastAsia="Times New Roman" w:hAnsi="Times New Roman" w:cs="Times New Roman"/>
                <w:bCs/>
                <w:sz w:val="24"/>
                <w:szCs w:val="24"/>
                <w:lang w:eastAsia="bg-BG"/>
              </w:rPr>
              <w:t xml:space="preserve"> жилищна сграда в гр. Русе, ул. "Студен кладенец" №37, бл. "Ледено езеро - А";</w:t>
            </w:r>
          </w:p>
        </w:tc>
        <w:tc>
          <w:tcPr>
            <w:tcW w:w="3071" w:type="dxa"/>
            <w:vAlign w:val="bottom"/>
          </w:tcPr>
          <w:p w:rsidR="005731F1" w:rsidRPr="005731F1" w:rsidRDefault="005731F1" w:rsidP="005731F1">
            <w:pPr>
              <w:jc w:val="both"/>
              <w:rPr>
                <w:rFonts w:ascii="Times New Roman" w:eastAsia="Times New Roman" w:hAnsi="Times New Roman" w:cs="Times New Roman"/>
                <w:b/>
                <w:bCs/>
                <w:sz w:val="24"/>
                <w:szCs w:val="24"/>
                <w:lang w:eastAsia="bg-BG"/>
              </w:rPr>
            </w:pPr>
            <w:r w:rsidRPr="005731F1">
              <w:rPr>
                <w:rFonts w:ascii="Times New Roman" w:eastAsia="Times New Roman" w:hAnsi="Times New Roman" w:cs="Times New Roman"/>
                <w:color w:val="000000"/>
                <w:sz w:val="24"/>
                <w:szCs w:val="24"/>
              </w:rPr>
              <w:t>5216,10</w:t>
            </w:r>
          </w:p>
        </w:tc>
      </w:tr>
      <w:tr w:rsidR="005731F1" w:rsidRPr="005731F1" w:rsidTr="004C3B1B">
        <w:tc>
          <w:tcPr>
            <w:tcW w:w="6141" w:type="dxa"/>
          </w:tcPr>
          <w:p w:rsidR="005731F1" w:rsidRPr="005731F1" w:rsidRDefault="005731F1" w:rsidP="005731F1">
            <w:pPr>
              <w:numPr>
                <w:ilvl w:val="0"/>
                <w:numId w:val="2"/>
              </w:numPr>
              <w:rPr>
                <w:rFonts w:ascii="Times New Roman" w:eastAsia="Times New Roman" w:hAnsi="Times New Roman" w:cs="Times New Roman"/>
                <w:bCs/>
                <w:sz w:val="24"/>
                <w:szCs w:val="24"/>
                <w:lang w:eastAsia="bg-BG"/>
              </w:rPr>
            </w:pPr>
            <w:proofErr w:type="spellStart"/>
            <w:r w:rsidRPr="005731F1">
              <w:rPr>
                <w:rFonts w:ascii="Times New Roman" w:eastAsia="Times New Roman" w:hAnsi="Times New Roman" w:cs="Times New Roman"/>
                <w:bCs/>
                <w:sz w:val="24"/>
                <w:szCs w:val="24"/>
                <w:lang w:eastAsia="bg-BG"/>
              </w:rPr>
              <w:t>Многофамилна</w:t>
            </w:r>
            <w:proofErr w:type="spellEnd"/>
            <w:r w:rsidRPr="005731F1">
              <w:rPr>
                <w:rFonts w:ascii="Times New Roman" w:eastAsia="Times New Roman" w:hAnsi="Times New Roman" w:cs="Times New Roman"/>
                <w:bCs/>
                <w:sz w:val="24"/>
                <w:szCs w:val="24"/>
                <w:lang w:eastAsia="bg-BG"/>
              </w:rPr>
              <w:t xml:space="preserve"> жилищна сграда в гр. Русе, ул. "Митрополит Григорий" №6, бл. "Родина";</w:t>
            </w:r>
          </w:p>
        </w:tc>
        <w:tc>
          <w:tcPr>
            <w:tcW w:w="3071" w:type="dxa"/>
            <w:vAlign w:val="bottom"/>
          </w:tcPr>
          <w:p w:rsidR="005731F1" w:rsidRPr="005731F1" w:rsidRDefault="005731F1" w:rsidP="005731F1">
            <w:pPr>
              <w:jc w:val="both"/>
              <w:rPr>
                <w:rFonts w:ascii="Times New Roman" w:eastAsia="Times New Roman" w:hAnsi="Times New Roman" w:cs="Times New Roman"/>
                <w:b/>
                <w:bCs/>
                <w:sz w:val="24"/>
                <w:szCs w:val="24"/>
                <w:lang w:eastAsia="bg-BG"/>
              </w:rPr>
            </w:pPr>
            <w:r w:rsidRPr="005731F1">
              <w:rPr>
                <w:rFonts w:ascii="Times New Roman" w:eastAsia="Times New Roman" w:hAnsi="Times New Roman" w:cs="Times New Roman"/>
                <w:color w:val="000000"/>
                <w:sz w:val="24"/>
                <w:szCs w:val="24"/>
              </w:rPr>
              <w:t>4734,24</w:t>
            </w:r>
          </w:p>
        </w:tc>
      </w:tr>
      <w:tr w:rsidR="005731F1" w:rsidRPr="005731F1" w:rsidTr="004C3B1B">
        <w:tc>
          <w:tcPr>
            <w:tcW w:w="6141" w:type="dxa"/>
          </w:tcPr>
          <w:p w:rsidR="005731F1" w:rsidRPr="005731F1" w:rsidRDefault="005731F1" w:rsidP="005731F1">
            <w:pPr>
              <w:numPr>
                <w:ilvl w:val="0"/>
                <w:numId w:val="2"/>
              </w:numPr>
              <w:rPr>
                <w:rFonts w:ascii="Times New Roman" w:eastAsia="Times New Roman" w:hAnsi="Times New Roman" w:cs="Times New Roman"/>
                <w:bCs/>
                <w:sz w:val="24"/>
                <w:szCs w:val="24"/>
                <w:lang w:eastAsia="bg-BG"/>
              </w:rPr>
            </w:pPr>
            <w:proofErr w:type="spellStart"/>
            <w:r w:rsidRPr="005731F1">
              <w:rPr>
                <w:rFonts w:ascii="Times New Roman" w:eastAsia="Times New Roman" w:hAnsi="Times New Roman" w:cs="Times New Roman"/>
                <w:bCs/>
                <w:sz w:val="24"/>
                <w:szCs w:val="24"/>
                <w:lang w:eastAsia="bg-BG"/>
              </w:rPr>
              <w:t>Многофамилна</w:t>
            </w:r>
            <w:proofErr w:type="spellEnd"/>
            <w:r w:rsidRPr="005731F1">
              <w:rPr>
                <w:rFonts w:ascii="Times New Roman" w:eastAsia="Times New Roman" w:hAnsi="Times New Roman" w:cs="Times New Roman"/>
                <w:bCs/>
                <w:sz w:val="24"/>
                <w:szCs w:val="24"/>
                <w:lang w:eastAsia="bg-BG"/>
              </w:rPr>
              <w:t xml:space="preserve"> жилищна сграда в гр. Русе, ул. "Лисец"№1, бл. "Беласица";</w:t>
            </w:r>
          </w:p>
        </w:tc>
        <w:tc>
          <w:tcPr>
            <w:tcW w:w="3071" w:type="dxa"/>
            <w:vAlign w:val="bottom"/>
          </w:tcPr>
          <w:p w:rsidR="005731F1" w:rsidRPr="005731F1" w:rsidRDefault="005731F1" w:rsidP="005731F1">
            <w:pPr>
              <w:jc w:val="both"/>
              <w:rPr>
                <w:rFonts w:ascii="Times New Roman" w:eastAsia="Times New Roman" w:hAnsi="Times New Roman" w:cs="Times New Roman"/>
                <w:b/>
                <w:bCs/>
                <w:sz w:val="24"/>
                <w:szCs w:val="24"/>
                <w:lang w:eastAsia="bg-BG"/>
              </w:rPr>
            </w:pPr>
            <w:r w:rsidRPr="005731F1">
              <w:rPr>
                <w:rFonts w:ascii="Times New Roman" w:eastAsia="Times New Roman" w:hAnsi="Times New Roman" w:cs="Times New Roman"/>
                <w:color w:val="000000"/>
                <w:sz w:val="24"/>
                <w:szCs w:val="24"/>
              </w:rPr>
              <w:t>12960,00</w:t>
            </w:r>
          </w:p>
        </w:tc>
      </w:tr>
      <w:tr w:rsidR="005731F1" w:rsidRPr="005731F1" w:rsidTr="004C3B1B">
        <w:tc>
          <w:tcPr>
            <w:tcW w:w="6141" w:type="dxa"/>
          </w:tcPr>
          <w:p w:rsidR="005731F1" w:rsidRPr="005731F1" w:rsidRDefault="005731F1" w:rsidP="005731F1">
            <w:pPr>
              <w:numPr>
                <w:ilvl w:val="0"/>
                <w:numId w:val="2"/>
              </w:numPr>
              <w:rPr>
                <w:rFonts w:ascii="Times New Roman" w:eastAsia="Times New Roman" w:hAnsi="Times New Roman" w:cs="Times New Roman"/>
                <w:bCs/>
                <w:sz w:val="24"/>
                <w:szCs w:val="24"/>
                <w:lang w:eastAsia="bg-BG"/>
              </w:rPr>
            </w:pPr>
            <w:proofErr w:type="spellStart"/>
            <w:r w:rsidRPr="005731F1">
              <w:rPr>
                <w:rFonts w:ascii="Times New Roman" w:eastAsia="Times New Roman" w:hAnsi="Times New Roman" w:cs="Times New Roman"/>
                <w:bCs/>
                <w:sz w:val="24"/>
                <w:szCs w:val="24"/>
                <w:lang w:eastAsia="bg-BG"/>
              </w:rPr>
              <w:t>Многофамилна</w:t>
            </w:r>
            <w:proofErr w:type="spellEnd"/>
            <w:r w:rsidRPr="005731F1">
              <w:rPr>
                <w:rFonts w:ascii="Times New Roman" w:eastAsia="Times New Roman" w:hAnsi="Times New Roman" w:cs="Times New Roman"/>
                <w:bCs/>
                <w:sz w:val="24"/>
                <w:szCs w:val="24"/>
                <w:lang w:eastAsia="bg-BG"/>
              </w:rPr>
              <w:t xml:space="preserve"> жилищна сграда в гр. Русе, ул. "Рига" №22, бл. "</w:t>
            </w:r>
            <w:proofErr w:type="spellStart"/>
            <w:r w:rsidRPr="005731F1">
              <w:rPr>
                <w:rFonts w:ascii="Times New Roman" w:eastAsia="Times New Roman" w:hAnsi="Times New Roman" w:cs="Times New Roman"/>
                <w:bCs/>
                <w:sz w:val="24"/>
                <w:szCs w:val="24"/>
                <w:lang w:eastAsia="bg-BG"/>
              </w:rPr>
              <w:t>Балчо</w:t>
            </w:r>
            <w:proofErr w:type="spellEnd"/>
            <w:r w:rsidRPr="005731F1">
              <w:rPr>
                <w:rFonts w:ascii="Times New Roman" w:eastAsia="Times New Roman" w:hAnsi="Times New Roman" w:cs="Times New Roman"/>
                <w:bCs/>
                <w:sz w:val="24"/>
                <w:szCs w:val="24"/>
                <w:lang w:eastAsia="bg-BG"/>
              </w:rPr>
              <w:t xml:space="preserve"> Войвода";</w:t>
            </w:r>
          </w:p>
        </w:tc>
        <w:tc>
          <w:tcPr>
            <w:tcW w:w="3071" w:type="dxa"/>
            <w:vAlign w:val="bottom"/>
          </w:tcPr>
          <w:p w:rsidR="005731F1" w:rsidRPr="005731F1" w:rsidRDefault="005731F1" w:rsidP="005731F1">
            <w:pPr>
              <w:jc w:val="both"/>
              <w:rPr>
                <w:rFonts w:ascii="Times New Roman" w:eastAsia="Times New Roman" w:hAnsi="Times New Roman" w:cs="Times New Roman"/>
                <w:b/>
                <w:bCs/>
                <w:sz w:val="24"/>
                <w:szCs w:val="24"/>
                <w:lang w:eastAsia="bg-BG"/>
              </w:rPr>
            </w:pPr>
            <w:r w:rsidRPr="005731F1">
              <w:rPr>
                <w:rFonts w:ascii="Times New Roman" w:eastAsia="Times New Roman" w:hAnsi="Times New Roman" w:cs="Times New Roman"/>
                <w:color w:val="000000"/>
                <w:sz w:val="24"/>
                <w:szCs w:val="24"/>
              </w:rPr>
              <w:t>5221,00</w:t>
            </w:r>
          </w:p>
        </w:tc>
      </w:tr>
    </w:tbl>
    <w:p w:rsidR="005731F1" w:rsidRPr="005731F1" w:rsidRDefault="005731F1" w:rsidP="005731F1">
      <w:pPr>
        <w:spacing w:line="276" w:lineRule="auto"/>
        <w:jc w:val="both"/>
        <w:rPr>
          <w:rFonts w:eastAsia="Times New Roman" w:cs="Times New Roman"/>
          <w:b/>
          <w:szCs w:val="24"/>
          <w:u w:val="single"/>
        </w:rPr>
      </w:pPr>
    </w:p>
    <w:p w:rsidR="005731F1" w:rsidRPr="005731F1" w:rsidRDefault="005731F1" w:rsidP="005731F1">
      <w:pPr>
        <w:autoSpaceDE w:val="0"/>
        <w:autoSpaceDN w:val="0"/>
        <w:adjustRightInd w:val="0"/>
        <w:spacing w:line="276" w:lineRule="auto"/>
        <w:jc w:val="both"/>
        <w:rPr>
          <w:rFonts w:eastAsia="Times New Roman" w:cs="Times New Roman"/>
          <w:b/>
          <w:bCs/>
          <w:szCs w:val="24"/>
        </w:rPr>
      </w:pPr>
      <w:r w:rsidRPr="005731F1">
        <w:rPr>
          <w:rFonts w:eastAsia="Times New Roman" w:cs="Times New Roman"/>
          <w:b/>
          <w:bCs/>
          <w:szCs w:val="24"/>
        </w:rPr>
        <w:t xml:space="preserve">Спецификацията е подготвена от: </w:t>
      </w:r>
    </w:p>
    <w:p w:rsidR="005731F1" w:rsidRPr="005731F1" w:rsidRDefault="005731F1" w:rsidP="005731F1">
      <w:pPr>
        <w:autoSpaceDE w:val="0"/>
        <w:autoSpaceDN w:val="0"/>
        <w:adjustRightInd w:val="0"/>
        <w:spacing w:line="276" w:lineRule="auto"/>
        <w:jc w:val="both"/>
        <w:rPr>
          <w:rFonts w:eastAsia="Times New Roman" w:cs="Times New Roman"/>
          <w:b/>
          <w:bCs/>
          <w:szCs w:val="24"/>
        </w:rPr>
      </w:pPr>
      <w:r w:rsidRPr="005731F1">
        <w:rPr>
          <w:rFonts w:eastAsia="Times New Roman" w:cs="Times New Roman"/>
          <w:b/>
          <w:bCs/>
          <w:szCs w:val="24"/>
        </w:rPr>
        <w:t>Кристиян Симеонов, зам. изпълнителен директор на Сдружение „Регионална енергийна агенция – Русе“, съгласно договор №ФС-2237 от 17.02.2015 г.</w:t>
      </w:r>
    </w:p>
    <w:p w:rsidR="005731F1" w:rsidRPr="005731F1" w:rsidRDefault="005731F1" w:rsidP="005731F1">
      <w:pPr>
        <w:autoSpaceDE w:val="0"/>
        <w:autoSpaceDN w:val="0"/>
        <w:adjustRightInd w:val="0"/>
        <w:spacing w:line="276" w:lineRule="auto"/>
        <w:jc w:val="both"/>
        <w:rPr>
          <w:rFonts w:eastAsia="Times New Roman" w:cs="Times New Roman"/>
          <w:b/>
          <w:bCs/>
          <w:szCs w:val="24"/>
        </w:rPr>
      </w:pPr>
      <w:r w:rsidRPr="005731F1">
        <w:rPr>
          <w:rFonts w:eastAsia="Times New Roman" w:cs="Times New Roman"/>
          <w:b/>
          <w:bCs/>
          <w:szCs w:val="24"/>
        </w:rPr>
        <w:t xml:space="preserve">                                                          </w:t>
      </w:r>
    </w:p>
    <w:p w:rsidR="005731F1" w:rsidRPr="005731F1" w:rsidRDefault="005731F1" w:rsidP="005731F1">
      <w:pPr>
        <w:autoSpaceDE w:val="0"/>
        <w:autoSpaceDN w:val="0"/>
        <w:adjustRightInd w:val="0"/>
        <w:spacing w:line="276" w:lineRule="auto"/>
        <w:jc w:val="both"/>
        <w:rPr>
          <w:rFonts w:eastAsia="Times New Roman" w:cs="Times New Roman"/>
          <w:b/>
          <w:bCs/>
          <w:szCs w:val="24"/>
        </w:rPr>
      </w:pPr>
      <w:r w:rsidRPr="005731F1">
        <w:rPr>
          <w:rFonts w:eastAsia="Times New Roman" w:cs="Times New Roman"/>
          <w:b/>
          <w:bCs/>
          <w:szCs w:val="24"/>
        </w:rPr>
        <w:t xml:space="preserve"> /име и подпис/</w:t>
      </w:r>
    </w:p>
    <w:p w:rsidR="00497F4D" w:rsidRDefault="00497F4D"/>
    <w:sectPr w:rsidR="00497F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F3017"/>
    <w:multiLevelType w:val="hybridMultilevel"/>
    <w:tmpl w:val="4FCEECA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 w15:restartNumberingAfterBreak="0">
    <w:nsid w:val="59AA072B"/>
    <w:multiLevelType w:val="hybridMultilevel"/>
    <w:tmpl w:val="5C3E0B1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424"/>
    <w:rsid w:val="00497F4D"/>
    <w:rsid w:val="005731F1"/>
    <w:rsid w:val="00F6342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1016D-61A5-4B52-AD92-C55AD073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bg-B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Мрежа в таблица1"/>
    <w:basedOn w:val="a1"/>
    <w:next w:val="a3"/>
    <w:uiPriority w:val="59"/>
    <w:rsid w:val="005731F1"/>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73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4243</Characters>
  <Application>Microsoft Office Word</Application>
  <DocSecurity>0</DocSecurity>
  <Lines>35</Lines>
  <Paragraphs>9</Paragraphs>
  <ScaleCrop>false</ScaleCrop>
  <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2016-11-04T13:48:00Z</dcterms:created>
  <dcterms:modified xsi:type="dcterms:W3CDTF">2016-11-04T13:49:00Z</dcterms:modified>
</cp:coreProperties>
</file>